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9BB" w:rsidRDefault="000A75F0" w:rsidP="00C2303E">
      <w:pPr>
        <w:pStyle w:val="Nadpis1"/>
        <w:tabs>
          <w:tab w:val="left" w:pos="0"/>
        </w:tabs>
        <w:ind w:left="1134" w:hanging="360"/>
      </w:pPr>
      <w:r w:rsidRPr="00C2303E">
        <w:t xml:space="preserve">Příloha č. </w:t>
      </w:r>
      <w:r w:rsidR="00BF01F2">
        <w:t>5</w:t>
      </w:r>
    </w:p>
    <w:p w:rsidR="00EE3D52" w:rsidRPr="00054E62" w:rsidRDefault="00EE3D52" w:rsidP="00054E62">
      <w:pPr>
        <w:ind w:left="708"/>
        <w:rPr>
          <w:noProof/>
          <w:lang w:eastAsia="cs-CZ"/>
        </w:rPr>
      </w:pPr>
      <w:r w:rsidRPr="00EE3D52">
        <w:rPr>
          <w:rFonts w:asciiTheme="majorHAnsi" w:eastAsiaTheme="majorEastAsia" w:hAnsiTheme="majorHAnsi" w:cstheme="majorBidi"/>
          <w:color w:val="2F5496" w:themeColor="accent1" w:themeShade="BF"/>
          <w:sz w:val="32"/>
          <w:szCs w:val="32"/>
        </w:rPr>
        <w:t xml:space="preserve">Standardy prvků VO </w:t>
      </w:r>
    </w:p>
    <w:p w:rsidR="00C3647C" w:rsidRPr="00C2303E" w:rsidRDefault="00C3647C" w:rsidP="00C2303E">
      <w:pPr>
        <w:pStyle w:val="Nadpis1"/>
        <w:tabs>
          <w:tab w:val="left" w:pos="0"/>
        </w:tabs>
        <w:ind w:left="1134" w:hanging="360"/>
      </w:pPr>
      <w:r w:rsidRPr="00C2303E">
        <w:t>Provádění stožárových základů</w:t>
      </w:r>
    </w:p>
    <w:p w:rsidR="00C3647C" w:rsidRPr="00C2303E" w:rsidRDefault="00C2303E" w:rsidP="00C2303E">
      <w:pPr>
        <w:pStyle w:val="Nadpis1"/>
        <w:tabs>
          <w:tab w:val="left" w:pos="0"/>
        </w:tabs>
        <w:ind w:left="1134" w:hanging="360"/>
        <w:rPr>
          <w:sz w:val="26"/>
          <w:szCs w:val="26"/>
        </w:rPr>
      </w:pPr>
      <w:r>
        <w:rPr>
          <w:sz w:val="26"/>
          <w:szCs w:val="26"/>
        </w:rPr>
        <w:t>Vetknuté stožáry</w:t>
      </w:r>
    </w:p>
    <w:p w:rsidR="00C3647C" w:rsidRDefault="00C3647C" w:rsidP="00C3647C">
      <w:pPr>
        <w:pStyle w:val="Zkladntext"/>
        <w:spacing w:before="120"/>
        <w:ind w:right="252"/>
        <w:jc w:val="both"/>
      </w:pPr>
      <w:r>
        <w:t>Stožárový základ slouží pro osazení stožáru, musí zajistit bezpečné mechanické uložení stožáru a umožňovat snadnou výměnu poškozeného stožáru. V soustavě se používají pouzdrové betonové základy, které se zhotovují po vytýčení v terénu dle projektové dokumentace.</w:t>
      </w:r>
    </w:p>
    <w:p w:rsidR="003A5F2E" w:rsidRDefault="00C3647C" w:rsidP="00C3647C">
      <w:pPr>
        <w:pStyle w:val="Zkladntext"/>
        <w:spacing w:before="119"/>
        <w:ind w:right="254"/>
        <w:jc w:val="both"/>
      </w:pPr>
      <w:r>
        <w:t xml:space="preserve">Pouzdro základu je tvořeno </w:t>
      </w:r>
      <w:r w:rsidR="003A5F2E">
        <w:t>PE</w:t>
      </w:r>
      <w:r>
        <w:t xml:space="preserve"> trubkou, jejíž vnitřní průměr musí být minimálně o 100 mm vetší než průměr vkládaného stožáru. Pouzdro se umisťuje ve výkopu na patu pouzdra, která je tvořena vhodnou mechanicky pevnou podložkou (např. dlaždice). Při betonáži pouzdra musí být zhotoveny prostupy pro budoucí zavedení kabeláže. Instalace stožáru je možná až po dosažení požadované tvrdosti betonu.</w:t>
      </w:r>
    </w:p>
    <w:p w:rsidR="00C2303E" w:rsidRDefault="00C2303E" w:rsidP="00C3647C">
      <w:pPr>
        <w:pStyle w:val="Zkladntext"/>
        <w:spacing w:before="119"/>
        <w:ind w:right="254"/>
        <w:jc w:val="both"/>
      </w:pPr>
    </w:p>
    <w:p w:rsidR="007561EA" w:rsidRDefault="00A94DF2" w:rsidP="00C3647C">
      <w:pPr>
        <w:jc w:val="center"/>
      </w:pPr>
      <w:r>
        <w:rPr>
          <w:noProof/>
          <w:lang w:eastAsia="cs-CZ"/>
        </w:rPr>
        <w:drawing>
          <wp:inline distT="0" distB="0" distL="0" distR="0">
            <wp:extent cx="5274780" cy="5092262"/>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972" cy="5096309"/>
                    </a:xfrm>
                    <a:prstGeom prst="rect">
                      <a:avLst/>
                    </a:prstGeom>
                    <a:noFill/>
                    <a:ln>
                      <a:noFill/>
                    </a:ln>
                  </pic:spPr>
                </pic:pic>
              </a:graphicData>
            </a:graphic>
          </wp:inline>
        </w:drawing>
      </w:r>
    </w:p>
    <w:p w:rsidR="00A94DF2" w:rsidRPr="00C2303E" w:rsidRDefault="0027528E" w:rsidP="00C3647C">
      <w:pPr>
        <w:jc w:val="center"/>
        <w:rPr>
          <w:i/>
        </w:rPr>
      </w:pPr>
      <w:r>
        <w:rPr>
          <w:i/>
        </w:rPr>
        <w:lastRenderedPageBreak/>
        <w:t>Obr.</w:t>
      </w:r>
      <w:r w:rsidR="00C2303E" w:rsidRPr="00C2303E">
        <w:rPr>
          <w:i/>
        </w:rPr>
        <w:t>: Průřez vetknutým stožárem</w:t>
      </w:r>
    </w:p>
    <w:p w:rsidR="00A94DF2" w:rsidRDefault="00A94DF2" w:rsidP="00C3647C">
      <w:pPr>
        <w:jc w:val="center"/>
      </w:pPr>
    </w:p>
    <w:p w:rsidR="00A94DF2" w:rsidRDefault="00A94DF2" w:rsidP="00C3647C">
      <w:pPr>
        <w:jc w:val="center"/>
      </w:pPr>
    </w:p>
    <w:p w:rsidR="00A94DF2" w:rsidRDefault="00A94DF2" w:rsidP="00C3647C">
      <w:pPr>
        <w:jc w:val="center"/>
      </w:pPr>
      <w:r>
        <w:rPr>
          <w:noProof/>
          <w:lang w:eastAsia="cs-CZ"/>
        </w:rPr>
        <w:drawing>
          <wp:inline distT="0" distB="0" distL="0" distR="0">
            <wp:extent cx="5753100" cy="3495675"/>
            <wp:effectExtent l="0" t="0" r="0"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495675"/>
                    </a:xfrm>
                    <a:prstGeom prst="rect">
                      <a:avLst/>
                    </a:prstGeom>
                    <a:noFill/>
                    <a:ln>
                      <a:noFill/>
                    </a:ln>
                  </pic:spPr>
                </pic:pic>
              </a:graphicData>
            </a:graphic>
          </wp:inline>
        </w:drawing>
      </w:r>
    </w:p>
    <w:p w:rsidR="00C2303E" w:rsidRPr="00C2303E" w:rsidRDefault="0027528E" w:rsidP="00C3647C">
      <w:pPr>
        <w:jc w:val="center"/>
        <w:rPr>
          <w:i/>
        </w:rPr>
      </w:pPr>
      <w:r>
        <w:rPr>
          <w:i/>
        </w:rPr>
        <w:t>Obr.</w:t>
      </w:r>
      <w:r w:rsidR="00C2303E" w:rsidRPr="00C2303E">
        <w:rPr>
          <w:i/>
        </w:rPr>
        <w:t>: Doporučené rozměry pro základ stožáru</w:t>
      </w:r>
    </w:p>
    <w:p w:rsidR="00C2303E" w:rsidRDefault="003A5F2E" w:rsidP="00C3647C">
      <w:pPr>
        <w:jc w:val="center"/>
      </w:pPr>
      <w:r>
        <w:rPr>
          <w:noProof/>
          <w:lang w:eastAsia="cs-CZ"/>
        </w:rPr>
        <w:lastRenderedPageBreak/>
        <w:drawing>
          <wp:inline distT="0" distB="0" distL="0" distR="0">
            <wp:extent cx="5753100" cy="38957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895725"/>
                    </a:xfrm>
                    <a:prstGeom prst="rect">
                      <a:avLst/>
                    </a:prstGeom>
                    <a:noFill/>
                    <a:ln>
                      <a:noFill/>
                    </a:ln>
                  </pic:spPr>
                </pic:pic>
              </a:graphicData>
            </a:graphic>
          </wp:inline>
        </w:drawing>
      </w:r>
    </w:p>
    <w:p w:rsidR="00C2303E" w:rsidRPr="00C2303E" w:rsidRDefault="00C2303E" w:rsidP="00C2303E">
      <w:pPr>
        <w:jc w:val="center"/>
        <w:rPr>
          <w:i/>
        </w:rPr>
      </w:pPr>
      <w:r>
        <w:tab/>
      </w:r>
      <w:r w:rsidR="0027528E">
        <w:rPr>
          <w:i/>
        </w:rPr>
        <w:t>Obr.</w:t>
      </w:r>
      <w:r w:rsidRPr="00C2303E">
        <w:rPr>
          <w:i/>
        </w:rPr>
        <w:t xml:space="preserve">: </w:t>
      </w:r>
      <w:r>
        <w:rPr>
          <w:i/>
        </w:rPr>
        <w:t>Průřez stožáru ve zpevněném terénu</w:t>
      </w:r>
    </w:p>
    <w:p w:rsidR="00A94DF2" w:rsidRPr="00C2303E" w:rsidRDefault="00A94DF2" w:rsidP="00C2303E">
      <w:pPr>
        <w:tabs>
          <w:tab w:val="left" w:pos="5090"/>
        </w:tabs>
      </w:pPr>
    </w:p>
    <w:p w:rsidR="00A94DF2" w:rsidRDefault="003A5F2E" w:rsidP="00C3647C">
      <w:pPr>
        <w:jc w:val="center"/>
      </w:pPr>
      <w:r>
        <w:rPr>
          <w:noProof/>
          <w:lang w:eastAsia="cs-CZ"/>
        </w:rPr>
        <w:lastRenderedPageBreak/>
        <w:drawing>
          <wp:inline distT="0" distB="0" distL="0" distR="0">
            <wp:extent cx="5760720" cy="5062855"/>
            <wp:effectExtent l="0" t="0" r="0" b="4445"/>
            <wp:docPr id="5" name="Obrázek 5" descr="Image result for stožárový zákla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stožárový základ&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5062855"/>
                    </a:xfrm>
                    <a:prstGeom prst="rect">
                      <a:avLst/>
                    </a:prstGeom>
                    <a:noFill/>
                    <a:ln>
                      <a:noFill/>
                    </a:ln>
                  </pic:spPr>
                </pic:pic>
              </a:graphicData>
            </a:graphic>
          </wp:inline>
        </w:drawing>
      </w:r>
    </w:p>
    <w:p w:rsidR="003A5F2E" w:rsidRDefault="0027528E" w:rsidP="00C2303E">
      <w:pPr>
        <w:pStyle w:val="Zkladntext"/>
        <w:spacing w:before="119"/>
        <w:ind w:right="254"/>
        <w:jc w:val="center"/>
      </w:pPr>
      <w:r>
        <w:rPr>
          <w:i/>
        </w:rPr>
        <w:t>Obr.</w:t>
      </w:r>
      <w:r w:rsidR="00C2303E" w:rsidRPr="00C2303E">
        <w:rPr>
          <w:i/>
        </w:rPr>
        <w:t xml:space="preserve">: </w:t>
      </w:r>
      <w:r w:rsidR="00C2303E">
        <w:rPr>
          <w:i/>
        </w:rPr>
        <w:t>Průřez stožárového pouzdra</w:t>
      </w:r>
    </w:p>
    <w:p w:rsidR="00C2303E" w:rsidRDefault="00C2303E" w:rsidP="003A5F2E">
      <w:pPr>
        <w:pStyle w:val="Nadpis2"/>
      </w:pPr>
    </w:p>
    <w:p w:rsidR="003A5F2E" w:rsidRPr="00C77EBC" w:rsidRDefault="00C77EBC" w:rsidP="00C77EBC">
      <w:pPr>
        <w:pStyle w:val="Nadpis1"/>
        <w:tabs>
          <w:tab w:val="left" w:pos="0"/>
        </w:tabs>
        <w:ind w:left="1134" w:hanging="360"/>
        <w:rPr>
          <w:sz w:val="26"/>
          <w:szCs w:val="26"/>
        </w:rPr>
      </w:pPr>
      <w:r>
        <w:rPr>
          <w:sz w:val="26"/>
          <w:szCs w:val="26"/>
        </w:rPr>
        <w:t>Přírubové stožáry</w:t>
      </w:r>
    </w:p>
    <w:p w:rsidR="003A5F2E" w:rsidRDefault="003A5F2E" w:rsidP="003A5F2E">
      <w:pPr>
        <w:pStyle w:val="Zkladntext"/>
        <w:spacing w:before="119"/>
        <w:ind w:right="254"/>
        <w:jc w:val="both"/>
      </w:pPr>
    </w:p>
    <w:p w:rsidR="003A5F2E" w:rsidRDefault="003A5F2E" w:rsidP="003A5F2E">
      <w:pPr>
        <w:pStyle w:val="Zkladntext"/>
        <w:spacing w:before="119"/>
        <w:ind w:right="254"/>
        <w:jc w:val="both"/>
      </w:pPr>
      <w:r>
        <w:t>Betonové základy pro stožáry s ukotvením na základovou přírubu při normálních podmínkách podloží mají mít přibližně rozměry, které jsou uvedené v tabulce níže.</w:t>
      </w:r>
    </w:p>
    <w:p w:rsidR="003A5F2E" w:rsidRDefault="003A5F2E" w:rsidP="003A5F2E">
      <w:pPr>
        <w:pStyle w:val="Zkladntext"/>
        <w:spacing w:before="119"/>
        <w:ind w:right="254"/>
        <w:jc w:val="both"/>
      </w:pPr>
      <w:r>
        <w:t>Pro správnost určení betonového základu je třeba udělat kontrolní výpočet pro skutečnou únosnost půdy a také ověřit shodnost rozměrů stožáru a betonového základu.</w:t>
      </w:r>
    </w:p>
    <w:p w:rsidR="003A5F2E" w:rsidRDefault="003A5F2E" w:rsidP="003A5F2E">
      <w:pPr>
        <w:pStyle w:val="Zkladntext"/>
        <w:spacing w:before="119"/>
        <w:ind w:right="254"/>
        <w:jc w:val="both"/>
      </w:pPr>
      <w:r>
        <w:t>Velmi důležité je dodržet polohu a sklon pro vstup kabelu do stožáru.</w:t>
      </w:r>
    </w:p>
    <w:p w:rsidR="003A5F2E" w:rsidRDefault="003A5F2E" w:rsidP="003A5F2E">
      <w:pPr>
        <w:pStyle w:val="Zkladntext"/>
        <w:spacing w:before="119"/>
        <w:ind w:right="254"/>
        <w:jc w:val="both"/>
      </w:pPr>
      <w:r>
        <w:t>Před započetím betonáže prověřte správnost polohy otvoru na stožáru od úrovně zeminy. Dodržení správné polohy a rozměru otvoru pro kabel v betonu zajistí hladký průchod kabelu do stožáru. Nutné je v betonovém základu vytvořit otvor pro odvod vody.</w:t>
      </w:r>
    </w:p>
    <w:p w:rsidR="003A5F2E" w:rsidRDefault="003A5F2E" w:rsidP="00C3647C">
      <w:pPr>
        <w:jc w:val="center"/>
      </w:pPr>
    </w:p>
    <w:p w:rsidR="003A5F2E" w:rsidRDefault="003A5F2E" w:rsidP="00C3647C">
      <w:pPr>
        <w:jc w:val="center"/>
      </w:pPr>
    </w:p>
    <w:p w:rsidR="00C77EBC" w:rsidRDefault="003A5F2E" w:rsidP="00C3647C">
      <w:pPr>
        <w:jc w:val="center"/>
      </w:pPr>
      <w:r>
        <w:rPr>
          <w:noProof/>
          <w:lang w:eastAsia="cs-CZ"/>
        </w:rPr>
        <w:lastRenderedPageBreak/>
        <w:drawing>
          <wp:inline distT="0" distB="0" distL="0" distR="0">
            <wp:extent cx="5760720" cy="5970270"/>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5970270"/>
                    </a:xfrm>
                    <a:prstGeom prst="rect">
                      <a:avLst/>
                    </a:prstGeom>
                    <a:noFill/>
                    <a:ln>
                      <a:noFill/>
                    </a:ln>
                  </pic:spPr>
                </pic:pic>
              </a:graphicData>
            </a:graphic>
          </wp:inline>
        </w:drawing>
      </w:r>
    </w:p>
    <w:p w:rsidR="00C77EBC" w:rsidRPr="00C2303E" w:rsidRDefault="0027528E" w:rsidP="00C77EBC">
      <w:pPr>
        <w:jc w:val="center"/>
        <w:rPr>
          <w:i/>
        </w:rPr>
      </w:pPr>
      <w:r>
        <w:rPr>
          <w:i/>
        </w:rPr>
        <w:t>Obr.</w:t>
      </w:r>
      <w:r w:rsidR="00C77EBC" w:rsidRPr="00C2303E">
        <w:rPr>
          <w:i/>
        </w:rPr>
        <w:t xml:space="preserve">: </w:t>
      </w:r>
      <w:r w:rsidR="00C77EBC">
        <w:rPr>
          <w:i/>
        </w:rPr>
        <w:t>Specifikace přírubových stožárů</w:t>
      </w:r>
    </w:p>
    <w:p w:rsidR="003A5F2E" w:rsidRPr="00C77EBC" w:rsidRDefault="003A5F2E" w:rsidP="00C77EBC">
      <w:pPr>
        <w:jc w:val="center"/>
      </w:pPr>
    </w:p>
    <w:sectPr w:rsidR="003A5F2E" w:rsidRPr="00C77EB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FB4" w:rsidRDefault="000D2FB4" w:rsidP="00023FE1">
      <w:pPr>
        <w:spacing w:after="0" w:line="240" w:lineRule="auto"/>
      </w:pPr>
      <w:r>
        <w:separator/>
      </w:r>
    </w:p>
  </w:endnote>
  <w:endnote w:type="continuationSeparator" w:id="0">
    <w:p w:rsidR="000D2FB4" w:rsidRDefault="000D2FB4" w:rsidP="00023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4F" w:rsidRDefault="0053624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939551"/>
      <w:docPartObj>
        <w:docPartGallery w:val="Page Numbers (Bottom of Page)"/>
        <w:docPartUnique/>
      </w:docPartObj>
    </w:sdtPr>
    <w:sdtEndPr/>
    <w:sdtContent>
      <w:p w:rsidR="007561EA" w:rsidRDefault="007561EA">
        <w:pPr>
          <w:pStyle w:val="Zpat"/>
          <w:jc w:val="right"/>
        </w:pPr>
        <w:r>
          <w:fldChar w:fldCharType="begin"/>
        </w:r>
        <w:r>
          <w:instrText>PAGE   \* MERGEFORMAT</w:instrText>
        </w:r>
        <w:r>
          <w:fldChar w:fldCharType="separate"/>
        </w:r>
        <w:r w:rsidR="0053624F">
          <w:rPr>
            <w:noProof/>
          </w:rPr>
          <w:t>1</w:t>
        </w:r>
        <w:r>
          <w:fldChar w:fldCharType="end"/>
        </w:r>
      </w:p>
    </w:sdtContent>
  </w:sdt>
  <w:p w:rsidR="007561EA" w:rsidRDefault="007561EA">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4F" w:rsidRDefault="0053624F">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FB4" w:rsidRDefault="000D2FB4" w:rsidP="00023FE1">
      <w:pPr>
        <w:spacing w:after="0" w:line="240" w:lineRule="auto"/>
      </w:pPr>
      <w:r>
        <w:separator/>
      </w:r>
    </w:p>
  </w:footnote>
  <w:footnote w:type="continuationSeparator" w:id="0">
    <w:p w:rsidR="000D2FB4" w:rsidRDefault="000D2FB4" w:rsidP="00023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4F" w:rsidRDefault="0053624F">
    <w:pPr>
      <w:pStyle w:val="Zhla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1EA" w:rsidRDefault="00F22101" w:rsidP="007561EA">
    <w:r>
      <w:rPr>
        <w:b/>
        <w:i/>
        <w:noProof/>
        <w:sz w:val="36"/>
        <w:lang w:eastAsia="cs-CZ"/>
      </w:rPr>
      <w:drawing>
        <wp:anchor distT="0" distB="0" distL="114300" distR="114300" simplePos="0" relativeHeight="251662336" behindDoc="0" locked="0" layoutInCell="1" allowOverlap="1" wp14:anchorId="7A12E8B9" wp14:editId="42770442">
          <wp:simplePos x="0" y="0"/>
          <wp:positionH relativeFrom="margin">
            <wp:align>right</wp:align>
          </wp:positionH>
          <wp:positionV relativeFrom="paragraph">
            <wp:posOffset>-137795</wp:posOffset>
          </wp:positionV>
          <wp:extent cx="487680" cy="607112"/>
          <wp:effectExtent l="0" t="0" r="7620" b="254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07112"/>
                  </a:xfrm>
                  <a:prstGeom prst="rect">
                    <a:avLst/>
                  </a:prstGeom>
                  <a:noFill/>
                  <a:ln>
                    <a:noFill/>
                  </a:ln>
                </pic:spPr>
              </pic:pic>
            </a:graphicData>
          </a:graphic>
        </wp:anchor>
      </w:drawing>
    </w:r>
    <w:r w:rsidR="0053624F">
      <w:rPr>
        <w:noProof/>
        <w:lang w:eastAsia="cs-CZ"/>
      </w:rPr>
      <w:drawing>
        <wp:inline distT="0" distB="0" distL="0" distR="0" wp14:anchorId="2EBE2507" wp14:editId="4F9F4459">
          <wp:extent cx="2720340" cy="563245"/>
          <wp:effectExtent l="0" t="0" r="3810" b="8255"/>
          <wp:docPr id="7" name="Obrázek 7" descr="https://www.mestokralupy.cz/gallery/pages/mesto/rozvoj-mesta/strategicke-dokumenty-mesta/328.jpg"/>
          <wp:cNvGraphicFramePr/>
          <a:graphic xmlns:a="http://schemas.openxmlformats.org/drawingml/2006/main">
            <a:graphicData uri="http://schemas.openxmlformats.org/drawingml/2006/picture">
              <pic:pic xmlns:pic="http://schemas.openxmlformats.org/drawingml/2006/picture">
                <pic:nvPicPr>
                  <pic:cNvPr id="4" name="Obrázek 4" descr="https://www.mestokralupy.cz/gallery/pages/mesto/rozvoj-mesta/strategicke-dokumenty-mesta/328.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20340" cy="563245"/>
                  </a:xfrm>
                  <a:prstGeom prst="rect">
                    <a:avLst/>
                  </a:prstGeom>
                  <a:noFill/>
                  <a:ln>
                    <a:noFill/>
                  </a:ln>
                </pic:spPr>
              </pic:pic>
            </a:graphicData>
          </a:graphic>
        </wp:inline>
      </w:drawing>
    </w:r>
    <w:bookmarkStart w:id="0" w:name="_GoBack"/>
    <w:bookmarkEnd w:id="0"/>
    <w:r w:rsidR="00026996">
      <w:t xml:space="preserve"> </w:t>
    </w:r>
  </w:p>
  <w:p w:rsidR="007561EA" w:rsidRDefault="007561EA">
    <w:pPr>
      <w:pStyle w:val="Zhlav"/>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24F" w:rsidRDefault="0053624F">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206CA"/>
    <w:multiLevelType w:val="multilevel"/>
    <w:tmpl w:val="2D3CA782"/>
    <w:lvl w:ilvl="0">
      <w:start w:val="7"/>
      <w:numFmt w:val="decimal"/>
      <w:lvlText w:val="%1"/>
      <w:lvlJc w:val="left"/>
      <w:pPr>
        <w:ind w:left="944" w:hanging="708"/>
      </w:pPr>
      <w:rPr>
        <w:lang w:val="cs-CZ" w:eastAsia="cs-CZ" w:bidi="cs-CZ"/>
      </w:rPr>
    </w:lvl>
    <w:lvl w:ilvl="1">
      <w:start w:val="1"/>
      <w:numFmt w:val="decimal"/>
      <w:lvlText w:val="%1.%2."/>
      <w:lvlJc w:val="left"/>
      <w:pPr>
        <w:ind w:left="944" w:hanging="708"/>
      </w:pPr>
      <w:rPr>
        <w:rFonts w:ascii="Calibri" w:eastAsia="Calibri" w:hAnsi="Calibri" w:cs="Calibri" w:hint="default"/>
        <w:b/>
        <w:bCs/>
        <w:spacing w:val="-1"/>
        <w:w w:val="100"/>
        <w:sz w:val="24"/>
        <w:szCs w:val="24"/>
        <w:lang w:val="cs-CZ" w:eastAsia="cs-CZ" w:bidi="cs-CZ"/>
      </w:rPr>
    </w:lvl>
    <w:lvl w:ilvl="2">
      <w:start w:val="1"/>
      <w:numFmt w:val="decimal"/>
      <w:lvlText w:val="%1.%2.%3."/>
      <w:lvlJc w:val="left"/>
      <w:pPr>
        <w:ind w:left="944" w:hanging="708"/>
      </w:pPr>
      <w:rPr>
        <w:rFonts w:ascii="Calibri" w:eastAsia="Calibri" w:hAnsi="Calibri" w:cs="Calibri" w:hint="default"/>
        <w:b/>
        <w:bCs/>
        <w:w w:val="100"/>
        <w:sz w:val="22"/>
        <w:szCs w:val="22"/>
        <w:lang w:val="cs-CZ" w:eastAsia="cs-CZ" w:bidi="cs-CZ"/>
      </w:rPr>
    </w:lvl>
    <w:lvl w:ilvl="3">
      <w:numFmt w:val="bullet"/>
      <w:lvlText w:val="•"/>
      <w:lvlJc w:val="left"/>
      <w:pPr>
        <w:ind w:left="3527" w:hanging="708"/>
      </w:pPr>
      <w:rPr>
        <w:lang w:val="cs-CZ" w:eastAsia="cs-CZ" w:bidi="cs-CZ"/>
      </w:rPr>
    </w:lvl>
    <w:lvl w:ilvl="4">
      <w:numFmt w:val="bullet"/>
      <w:lvlText w:val="•"/>
      <w:lvlJc w:val="left"/>
      <w:pPr>
        <w:ind w:left="4390" w:hanging="708"/>
      </w:pPr>
      <w:rPr>
        <w:lang w:val="cs-CZ" w:eastAsia="cs-CZ" w:bidi="cs-CZ"/>
      </w:rPr>
    </w:lvl>
    <w:lvl w:ilvl="5">
      <w:numFmt w:val="bullet"/>
      <w:lvlText w:val="•"/>
      <w:lvlJc w:val="left"/>
      <w:pPr>
        <w:ind w:left="5252" w:hanging="708"/>
      </w:pPr>
      <w:rPr>
        <w:lang w:val="cs-CZ" w:eastAsia="cs-CZ" w:bidi="cs-CZ"/>
      </w:rPr>
    </w:lvl>
    <w:lvl w:ilvl="6">
      <w:numFmt w:val="bullet"/>
      <w:lvlText w:val="•"/>
      <w:lvlJc w:val="left"/>
      <w:pPr>
        <w:ind w:left="6115" w:hanging="708"/>
      </w:pPr>
      <w:rPr>
        <w:lang w:val="cs-CZ" w:eastAsia="cs-CZ" w:bidi="cs-CZ"/>
      </w:rPr>
    </w:lvl>
    <w:lvl w:ilvl="7">
      <w:numFmt w:val="bullet"/>
      <w:lvlText w:val="•"/>
      <w:lvlJc w:val="left"/>
      <w:pPr>
        <w:ind w:left="6977" w:hanging="708"/>
      </w:pPr>
      <w:rPr>
        <w:lang w:val="cs-CZ" w:eastAsia="cs-CZ" w:bidi="cs-CZ"/>
      </w:rPr>
    </w:lvl>
    <w:lvl w:ilvl="8">
      <w:numFmt w:val="bullet"/>
      <w:lvlText w:val="•"/>
      <w:lvlJc w:val="left"/>
      <w:pPr>
        <w:ind w:left="7840" w:hanging="708"/>
      </w:pPr>
      <w:rPr>
        <w:lang w:val="cs-CZ" w:eastAsia="cs-CZ" w:bidi="cs-CZ"/>
      </w:rPr>
    </w:lvl>
  </w:abstractNum>
  <w:num w:numId="1">
    <w:abstractNumId w:val="0"/>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E1"/>
    <w:rsid w:val="00023FE1"/>
    <w:rsid w:val="00026996"/>
    <w:rsid w:val="00054E62"/>
    <w:rsid w:val="000A75F0"/>
    <w:rsid w:val="000D2FB4"/>
    <w:rsid w:val="00205D33"/>
    <w:rsid w:val="0027528E"/>
    <w:rsid w:val="003102FA"/>
    <w:rsid w:val="003A5F2E"/>
    <w:rsid w:val="003B0542"/>
    <w:rsid w:val="003B186C"/>
    <w:rsid w:val="003F7C08"/>
    <w:rsid w:val="00440574"/>
    <w:rsid w:val="004E0749"/>
    <w:rsid w:val="0053624F"/>
    <w:rsid w:val="006F5764"/>
    <w:rsid w:val="006F6135"/>
    <w:rsid w:val="007561EA"/>
    <w:rsid w:val="00A12651"/>
    <w:rsid w:val="00A27B72"/>
    <w:rsid w:val="00A442FF"/>
    <w:rsid w:val="00A94DF2"/>
    <w:rsid w:val="00AA089B"/>
    <w:rsid w:val="00BA6BA7"/>
    <w:rsid w:val="00BF01F2"/>
    <w:rsid w:val="00C2303E"/>
    <w:rsid w:val="00C257A3"/>
    <w:rsid w:val="00C3647C"/>
    <w:rsid w:val="00C77EBC"/>
    <w:rsid w:val="00ED4903"/>
    <w:rsid w:val="00EE3D52"/>
    <w:rsid w:val="00F22101"/>
    <w:rsid w:val="00FE6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B862F4-02F5-437D-A3D5-DCFD1EFEE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230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link w:val="Nadpis2Char"/>
    <w:uiPriority w:val="9"/>
    <w:unhideWhenUsed/>
    <w:qFormat/>
    <w:rsid w:val="007561EA"/>
    <w:pPr>
      <w:widowControl w:val="0"/>
      <w:autoSpaceDE w:val="0"/>
      <w:autoSpaceDN w:val="0"/>
      <w:spacing w:after="0" w:line="240" w:lineRule="auto"/>
      <w:ind w:left="944" w:hanging="709"/>
      <w:jc w:val="both"/>
      <w:outlineLvl w:val="1"/>
    </w:pPr>
    <w:rPr>
      <w:rFonts w:ascii="Calibri" w:eastAsia="Calibri" w:hAnsi="Calibri" w:cs="Calibri"/>
      <w:b/>
      <w:bCs/>
      <w:sz w:val="24"/>
      <w:szCs w:val="24"/>
      <w:lang w:eastAsia="cs-CZ"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7561EA"/>
    <w:rPr>
      <w:rFonts w:ascii="Calibri" w:eastAsia="Calibri" w:hAnsi="Calibri" w:cs="Calibri"/>
      <w:b/>
      <w:bCs/>
      <w:sz w:val="24"/>
      <w:szCs w:val="24"/>
      <w:lang w:eastAsia="cs-CZ" w:bidi="cs-CZ"/>
    </w:rPr>
  </w:style>
  <w:style w:type="paragraph" w:styleId="Zkladntext">
    <w:name w:val="Body Text"/>
    <w:basedOn w:val="Normln"/>
    <w:link w:val="ZkladntextChar"/>
    <w:uiPriority w:val="1"/>
    <w:semiHidden/>
    <w:unhideWhenUsed/>
    <w:qFormat/>
    <w:rsid w:val="007561EA"/>
    <w:pPr>
      <w:widowControl w:val="0"/>
      <w:autoSpaceDE w:val="0"/>
      <w:autoSpaceDN w:val="0"/>
      <w:spacing w:after="0" w:line="240" w:lineRule="auto"/>
      <w:ind w:left="235"/>
    </w:pPr>
    <w:rPr>
      <w:rFonts w:ascii="Calibri" w:eastAsia="Calibri" w:hAnsi="Calibri" w:cs="Calibri"/>
      <w:lang w:eastAsia="cs-CZ" w:bidi="cs-CZ"/>
    </w:rPr>
  </w:style>
  <w:style w:type="character" w:customStyle="1" w:styleId="ZkladntextChar">
    <w:name w:val="Základní text Char"/>
    <w:basedOn w:val="Standardnpsmoodstavce"/>
    <w:link w:val="Zkladntext"/>
    <w:uiPriority w:val="1"/>
    <w:semiHidden/>
    <w:rsid w:val="007561EA"/>
    <w:rPr>
      <w:rFonts w:ascii="Calibri" w:eastAsia="Calibri" w:hAnsi="Calibri" w:cs="Calibri"/>
      <w:lang w:eastAsia="cs-CZ" w:bidi="cs-CZ"/>
    </w:rPr>
  </w:style>
  <w:style w:type="paragraph" w:styleId="Zhlav">
    <w:name w:val="header"/>
    <w:basedOn w:val="Normln"/>
    <w:link w:val="ZhlavChar"/>
    <w:uiPriority w:val="99"/>
    <w:unhideWhenUsed/>
    <w:rsid w:val="007561E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561EA"/>
  </w:style>
  <w:style w:type="paragraph" w:styleId="Zpat">
    <w:name w:val="footer"/>
    <w:basedOn w:val="Normln"/>
    <w:link w:val="ZpatChar"/>
    <w:uiPriority w:val="99"/>
    <w:unhideWhenUsed/>
    <w:rsid w:val="007561EA"/>
    <w:pPr>
      <w:tabs>
        <w:tab w:val="center" w:pos="4536"/>
        <w:tab w:val="right" w:pos="9072"/>
      </w:tabs>
      <w:spacing w:after="0" w:line="240" w:lineRule="auto"/>
    </w:pPr>
  </w:style>
  <w:style w:type="character" w:customStyle="1" w:styleId="ZpatChar">
    <w:name w:val="Zápatí Char"/>
    <w:basedOn w:val="Standardnpsmoodstavce"/>
    <w:link w:val="Zpat"/>
    <w:uiPriority w:val="99"/>
    <w:rsid w:val="007561EA"/>
  </w:style>
  <w:style w:type="character" w:customStyle="1" w:styleId="Nadpis1Char">
    <w:name w:val="Nadpis 1 Char"/>
    <w:basedOn w:val="Standardnpsmoodstavce"/>
    <w:link w:val="Nadpis1"/>
    <w:uiPriority w:val="9"/>
    <w:rsid w:val="00C230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95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232</Words>
  <Characters>1371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Cejpek Miroslav</dc:creator>
  <cp:keywords/>
  <dc:description/>
  <cp:lastModifiedBy>Aleš Levý</cp:lastModifiedBy>
  <cp:revision>13</cp:revision>
  <dcterms:created xsi:type="dcterms:W3CDTF">2019-11-04T23:06:00Z</dcterms:created>
  <dcterms:modified xsi:type="dcterms:W3CDTF">2021-05-10T08:10:00Z</dcterms:modified>
  <cp:category>Veřejné</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agging.ClassificationMark.P00">
    <vt:lpwstr>&lt;ClassificationMark xmlns:xsd="http://www.w3.org/2001/XMLSchema" xmlns:xsi="http://www.w3.org/2001/XMLSchema-instance" margin="NaN" class="C0" owner="Cejpek Miroslav" position="TopRight" marginX="0" marginY="0" classifiedOn="2019-11-05T00:06:21.26408</vt:lpwstr>
  </property>
  <property fmtid="{D5CDD505-2E9C-101B-9397-08002B2CF9AE}" pid="3" name="DocumentTagging.ClassificationMark.P01">
    <vt:lpwstr>36+01:00" showPrintedBy="false" showPrintDate="false" language="cs" ApplicationVersion="Microsoft Word, 16.0" addinVersion="5.10.5.31" template="CEZ"&gt;&lt;history bulk="false" class="Veřejné" code="C0" user="CEZES\cejpekmir" divisionPrefix="ESL" mappingV</vt:lpwstr>
  </property>
  <property fmtid="{D5CDD505-2E9C-101B-9397-08002B2CF9AE}" pid="4" name="DocumentTagging.ClassificationMark.P02">
    <vt:lpwstr>ersion="1" date="2019-11-05T00:06:21.2647114+01:00" /&gt;&lt;recipients /&gt;&lt;documentOwners /&gt;&lt;/ClassificationMark&gt;</vt:lpwstr>
  </property>
  <property fmtid="{D5CDD505-2E9C-101B-9397-08002B2CF9AE}" pid="5" name="DocumentTagging.ClassificationMark">
    <vt:lpwstr>￼PARTS:3</vt:lpwstr>
  </property>
  <property fmtid="{D5CDD505-2E9C-101B-9397-08002B2CF9AE}" pid="6" name="DocumentClasification">
    <vt:lpwstr>Veřejné</vt:lpwstr>
  </property>
  <property fmtid="{D5CDD505-2E9C-101B-9397-08002B2CF9AE}" pid="7" name="CEZ_DLP">
    <vt:lpwstr>CEZ:ESL:D</vt:lpwstr>
  </property>
</Properties>
</file>